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63B4B"/>
        </w:rPr>
        <w:t>Sjabloon ontwikkelingsovereenkomst software</w:t>
      </w:r>
    </w:p>
    <w:p>
      <w:r>
        <w:rPr>
          <w:b w:val="0"/>
          <w:i/>
          <w:color w:val="4C5D6A"/>
        </w:rPr>
        <w:t>Een vertrekpunt om met een jurist uit te werken. Bij elke clausule staat wat ze regelt. Vul de delen tussen vierkante haken in en schrap de toelichting voor je tekent.</w:t>
      </w:r>
    </w:p>
    <w:p>
      <w:pPr>
        <w:pStyle w:val="Heading2"/>
      </w:pPr>
      <w:r>
        <w:rPr>
          <w:color w:val="263B4B"/>
        </w:rPr>
        <w:t>1. Partijen en doel</w:t>
      </w:r>
    </w:p>
    <w:p>
      <w:r>
        <w:rPr>
          <w:b w:val="0"/>
          <w:i w:val="0"/>
        </w:rPr>
        <w:t>Deze overeenkomst wordt gesloten tussen [naam klant, maatschappelijke zetel, ondernemingsnummer] (de Klant) en [naam leverancier, maatschappelijke zetel, ondernemingsnummer] (de Leverancier) voor de ontwikkeling van [korte omschrijving van de software] (de Software).</w:t>
      </w:r>
    </w:p>
    <w:p>
      <w:r>
        <w:rPr>
          <w:b w:val="0"/>
          <w:i/>
          <w:color w:val="4C5D6A"/>
          <w:sz w:val="18"/>
        </w:rPr>
        <w:t>Toelichting: Noem de rechtspersonen exact zoals ingeschreven in de KBO. Een handelsnaam is geen partij.</w:t>
      </w:r>
    </w:p>
    <w:p>
      <w:pPr>
        <w:pStyle w:val="Heading2"/>
      </w:pPr>
      <w:r>
        <w:rPr>
          <w:color w:val="263B4B"/>
        </w:rPr>
        <w:t>2. Scope in modules</w:t>
      </w:r>
    </w:p>
    <w:p>
      <w:r>
        <w:rPr>
          <w:b w:val="0"/>
          <w:i w:val="0"/>
        </w:rPr>
        <w:t>De Leverancier bouwt de modules die in Bijlage 1 beschreven staan, elk met een functionele beschrijving, de rollen die ze gebruiken en de aanvaardingscriteria. Wat niet in Bijlage 1 staat, valt buiten de scope.</w:t>
      </w:r>
    </w:p>
    <w:p>
      <w:r>
        <w:rPr>
          <w:b w:val="0"/>
          <w:i/>
          <w:color w:val="4C5D6A"/>
          <w:sz w:val="18"/>
        </w:rPr>
        <w:t>Toelichting: Een scope in modules laat je per module tekenen, betalen en aanvaarden. Voeg de specificatie toe als Bijlage 1.</w:t>
      </w:r>
    </w:p>
    <w:p>
      <w:pPr>
        <w:pStyle w:val="Heading2"/>
      </w:pPr>
      <w:r>
        <w:rPr>
          <w:color w:val="263B4B"/>
        </w:rPr>
        <w:t>3. Prijs en betaling</w:t>
      </w:r>
    </w:p>
    <w:p>
      <w:r>
        <w:rPr>
          <w:b w:val="0"/>
          <w:i w:val="0"/>
        </w:rPr>
        <w:t>De prijs per module ligt vast zoals vermeld in Bijlage 2. [Percentage] wordt gefactureerd bij de start van een module en de rest bij aanvaarding. De prijzen zijn exclusief btw. Facturen zijn betaalbaar binnen [30] dagen.</w:t>
      </w:r>
    </w:p>
    <w:p>
      <w:r>
        <w:rPr>
          <w:b w:val="0"/>
          <w:i/>
          <w:color w:val="4C5D6A"/>
          <w:sz w:val="18"/>
        </w:rPr>
        <w:t>Toelichting: Een vaste prijs per module legt het risico van de schatting bij de Leverancier. Werk je in regie, vervang deze clausule dan door tarieven per rol, een wekelijks urenverslag en een plafond.</w:t>
      </w:r>
    </w:p>
    <w:p>
      <w:pPr>
        <w:pStyle w:val="Heading2"/>
      </w:pPr>
      <w:r>
        <w:rPr>
          <w:color w:val="263B4B"/>
        </w:rPr>
        <w:t>4. Wijzigingen</w:t>
      </w:r>
    </w:p>
    <w:p>
      <w:r>
        <w:rPr>
          <w:b w:val="0"/>
          <w:i w:val="0"/>
        </w:rPr>
        <w:t>Elke partij kan schriftelijk een wijziging voorstellen. De Leverancier beschrijft binnen [5] werkdagen het effect op prijs en planning. Een wijziging wordt pas uitgevoerd nadat beide partijen ze ondertekenen als nieuwe regel in Bijlage 2.</w:t>
      </w:r>
    </w:p>
    <w:p>
      <w:r>
        <w:rPr>
          <w:b w:val="0"/>
          <w:i/>
          <w:color w:val="4C5D6A"/>
          <w:sz w:val="18"/>
        </w:rPr>
        <w:t>Toelichting: Dit is de clausule die een budget doet standhouden. Wijzigingen zijn normaal; wijzigingen zonder prijs zijn het probleem.</w:t>
      </w:r>
    </w:p>
    <w:p>
      <w:pPr>
        <w:pStyle w:val="Heading2"/>
      </w:pPr>
      <w:r>
        <w:rPr>
          <w:color w:val="263B4B"/>
        </w:rPr>
        <w:t>5. Oplevering en aanvaarding</w:t>
      </w:r>
    </w:p>
    <w:p>
      <w:r>
        <w:rPr>
          <w:b w:val="0"/>
          <w:i w:val="0"/>
        </w:rPr>
        <w:t>De Leverancier levert elke module op een testomgeving. De Klant test binnen [10] werkdagen tegen de aanvaardingscriteria en aanvaardt of somt de gebreken op. De Leverancier herstelt de opgesomde gebreken en levert opnieuw. Een module is aanvaard als de Klant dat schriftelijk bevestigt, of als de termijn verstrijkt zonder lijst van gebreken.</w:t>
      </w:r>
    </w:p>
    <w:p>
      <w:r>
        <w:rPr>
          <w:b w:val="0"/>
          <w:i/>
          <w:color w:val="4C5D6A"/>
          <w:sz w:val="18"/>
        </w:rPr>
        <w:t>Toelichting: Zonder termijn om te testen blijft een module eeuwig onaanvaard; zonder criteria wordt elke test een onderhandeling.</w:t>
      </w:r>
    </w:p>
    <w:p>
      <w:pPr>
        <w:pStyle w:val="Heading2"/>
      </w:pPr>
      <w:r>
        <w:rPr>
          <w:color w:val="263B4B"/>
        </w:rPr>
        <w:t>6. Eigendom van de code en intellectuele eigendom</w:t>
      </w:r>
    </w:p>
    <w:p>
      <w:r>
        <w:rPr>
          <w:b w:val="0"/>
          <w:i w:val="0"/>
        </w:rPr>
        <w:t>Alle intellectuele eigendomsrechten op de Software, met inbegrip van broncode, ontwerpen en documentatie die voor de Klant gemaakt worden, worden overgedragen aan de Klant [bij creatie / bij betaling van elke module]. De Leverancier behoudt zijn bestaande tools en bibliotheken en geeft de Klant een eeuwigdurende, kosteloze licentie om ze als deel van de Software te gebruiken. Opensourcecomponenten blijven onder hun eigen licentie, opgesomd in Bijlage 3.</w:t>
      </w:r>
    </w:p>
    <w:p>
      <w:r>
        <w:rPr>
          <w:b w:val="0"/>
          <w:i/>
          <w:color w:val="4C5D6A"/>
          <w:sz w:val="18"/>
        </w:rPr>
        <w:t>Toelichting: In België en de rest van de EU bezit de auteur het auteursrecht tenzij het schriftelijk overgedragen wordt; voor software van werknemers wordt de werkgever vermoed de economische rechten te hebben, maar niet bij een externe leverancier. Schrijf de overdracht volledig uit.</w:t>
      </w:r>
    </w:p>
    <w:p>
      <w:pPr>
        <w:pStyle w:val="Heading2"/>
      </w:pPr>
      <w:r>
        <w:rPr>
          <w:color w:val="263B4B"/>
        </w:rPr>
        <w:t>7. Repository, accounts en toegang</w:t>
      </w:r>
    </w:p>
    <w:p>
      <w:r>
        <w:rPr>
          <w:b w:val="0"/>
          <w:i w:val="0"/>
        </w:rPr>
        <w:t>De broncode staat vanaf de eerste commit in een repository die eigendom is van de Klant, waartoe de Leverancier toegang heeft. Domeinnamen, cloudaccounts en accounts in de appwinkels staan op naam van de Klant.</w:t>
      </w:r>
    </w:p>
    <w:p>
      <w:r>
        <w:rPr>
          <w:b w:val="0"/>
          <w:i/>
          <w:color w:val="4C5D6A"/>
          <w:sz w:val="18"/>
        </w:rPr>
        <w:t>Toelichting: De nuttigste clausule voor een koper: je kunt op elk moment met een andere leverancier verder.</w:t>
      </w:r>
    </w:p>
    <w:p>
      <w:pPr>
        <w:pStyle w:val="Heading2"/>
      </w:pPr>
      <w:r>
        <w:rPr>
          <w:color w:val="263B4B"/>
        </w:rPr>
        <w:t>8. Hosting, gegevens en beveiliging</w:t>
      </w:r>
    </w:p>
    <w:p>
      <w:r>
        <w:rPr>
          <w:b w:val="0"/>
          <w:i w:val="0"/>
        </w:rPr>
        <w:t>De Software en de back-ups worden gehost in [regio]. Verwerkt de Leverancier persoonsgegevens in opdracht van de Klant, dan ondertekenen de partijen de verwerkersovereenkomst in Bijlage 4, die deel uitmaakt van deze overeenkomst.</w:t>
      </w:r>
    </w:p>
    <w:p>
      <w:r>
        <w:rPr>
          <w:b w:val="0"/>
          <w:i/>
          <w:color w:val="4C5D6A"/>
          <w:sz w:val="18"/>
        </w:rPr>
        <w:t>Toelichting: Artikel 28 van de GDPR vraagt een schriftelijke verwerkersovereenkomst. Noem de hostingregio als je klanten ernaar vragen.</w:t>
      </w:r>
    </w:p>
    <w:p>
      <w:pPr>
        <w:pStyle w:val="Heading2"/>
      </w:pPr>
      <w:r>
        <w:rPr>
          <w:color w:val="263B4B"/>
        </w:rPr>
        <w:t>9. Garantie</w:t>
      </w:r>
    </w:p>
    <w:p>
      <w:r>
        <w:rPr>
          <w:b w:val="0"/>
          <w:i w:val="0"/>
        </w:rPr>
        <w:t>De Leverancier garandeert dat elke aanvaarde module gedurende [3] maanden na aanvaarding werkt volgens haar aanvaardingscriteria en herstelt gebreken die in die periode gemeld worden zonder kosten.</w:t>
      </w:r>
    </w:p>
    <w:p>
      <w:r>
        <w:rPr>
          <w:b w:val="0"/>
          <w:i/>
          <w:color w:val="4C5D6A"/>
          <w:sz w:val="18"/>
        </w:rPr>
        <w:t>Toelichting: Een vaste garantieperiode scheidt gebreken van nieuwe wensen.</w:t>
      </w:r>
    </w:p>
    <w:p>
      <w:pPr>
        <w:pStyle w:val="Heading2"/>
      </w:pPr>
      <w:r>
        <w:rPr>
          <w:color w:val="263B4B"/>
        </w:rPr>
        <w:t>10. Ondersteuning en onderhoud</w:t>
      </w:r>
    </w:p>
    <w:p>
      <w:r>
        <w:rPr>
          <w:b w:val="0"/>
          <w:i w:val="0"/>
        </w:rPr>
        <w:t>Ondersteuning na de garantieperiode gebeurt volgens Bijlage 5, die de reactietijden, de uren van ondersteuning, de prijs en wat inbegrepen is vastlegt.</w:t>
      </w:r>
    </w:p>
    <w:p>
      <w:r>
        <w:rPr>
          <w:b w:val="0"/>
          <w:i/>
          <w:color w:val="4C5D6A"/>
          <w:sz w:val="18"/>
        </w:rPr>
        <w:t>Toelichting: Houd ondersteuning in een bijlage, zodat ze kan wijzigen zonder de overeenkomst te heropenen.</w:t>
      </w:r>
    </w:p>
    <w:p>
      <w:pPr>
        <w:pStyle w:val="Heading2"/>
      </w:pPr>
      <w:r>
        <w:rPr>
          <w:color w:val="263B4B"/>
        </w:rPr>
        <w:t>11. Aansprakelijkheid</w:t>
      </w:r>
    </w:p>
    <w:p>
      <w:r>
        <w:rPr>
          <w:b w:val="0"/>
          <w:i w:val="0"/>
        </w:rPr>
        <w:t>De totale aansprakelijkheid van elke partij onder deze overeenkomst is beperkt tot [de totale prijs betaald in de twaalf maanden voor de vordering], behalve voor [overlijden of lichamelijk letsel, bedrog, opzettelijke fout, en schending van de geheimhouding of van de verplichtingen inzake gegevensbescherming].</w:t>
      </w:r>
    </w:p>
    <w:p>
      <w:r>
        <w:rPr>
          <w:b w:val="0"/>
          <w:i/>
          <w:color w:val="4C5D6A"/>
          <w:sz w:val="18"/>
        </w:rPr>
        <w:t>Toelichting: Een plafond is normaal; wat buiten het plafond valt, is waar juristen hun loon verdienen. Teken deze clausule niet ongelezen.</w:t>
      </w:r>
    </w:p>
    <w:p>
      <w:pPr>
        <w:pStyle w:val="Heading2"/>
      </w:pPr>
      <w:r>
        <w:rPr>
          <w:color w:val="263B4B"/>
        </w:rPr>
        <w:t>12. Vertrouwelijkheid</w:t>
      </w:r>
    </w:p>
    <w:p>
      <w:r>
        <w:rPr>
          <w:b w:val="0"/>
          <w:i w:val="0"/>
        </w:rPr>
        <w:t>Elke partij houdt de vertrouwelijke informatie van de andere partij geheim tijdens de overeenkomst en gedurende [3] jaar daarna.</w:t>
      </w:r>
    </w:p>
    <w:p>
      <w:r>
        <w:rPr>
          <w:b w:val="0"/>
          <w:i/>
          <w:color w:val="4C5D6A"/>
          <w:sz w:val="18"/>
        </w:rPr>
        <w:t>Toelichting: Teken een geheimhoudingsovereenkomst voor het eerste gesprek als je gevoelig materiaal deelt.</w:t>
      </w:r>
    </w:p>
    <w:p>
      <w:pPr>
        <w:pStyle w:val="Heading2"/>
      </w:pPr>
      <w:r>
        <w:rPr>
          <w:color w:val="263B4B"/>
        </w:rPr>
        <w:t>13. Beëindiging en overdracht</w:t>
      </w:r>
    </w:p>
    <w:p>
      <w:r>
        <w:rPr>
          <w:b w:val="0"/>
          <w:i w:val="0"/>
        </w:rPr>
        <w:t>Elke partij kan de overeenkomst beëindigen met een schriftelijke opzeg van [30] dagen. De Klant betaalt het werk dat tot die datum geleverd is. Bij beëindiging draagt de Leverancier binnen [10] werkdagen de code, de documentatie en alle toegang over.</w:t>
      </w:r>
    </w:p>
    <w:p>
      <w:r>
        <w:rPr>
          <w:b w:val="0"/>
          <w:i/>
          <w:color w:val="4C5D6A"/>
          <w:sz w:val="18"/>
        </w:rPr>
        <w:t>Toelichting: Een uitstapclausule die je echt kunt gebruiken, maakt een relatie met een leverancier veiliger, niet zwakker.</w:t>
      </w:r>
    </w:p>
    <w:p>
      <w:pPr>
        <w:pStyle w:val="Heading2"/>
      </w:pPr>
      <w:r>
        <w:rPr>
          <w:color w:val="263B4B"/>
        </w:rPr>
        <w:t>14. Toepasselijk recht en geschillen</w:t>
      </w:r>
    </w:p>
    <w:p>
      <w:r>
        <w:rPr>
          <w:b w:val="0"/>
          <w:i w:val="0"/>
        </w:rPr>
        <w:t>Deze overeenkomst valt onder het [Belgisch] recht. De rechtbanken van [Gent] zijn exclusief bevoegd. [Eventueel: geschillen worden eerst aan bemiddeling voorgelegd.]</w:t>
      </w:r>
    </w:p>
    <w:p>
      <w:r>
        <w:rPr>
          <w:b w:val="0"/>
          <w:i/>
          <w:color w:val="4C5D6A"/>
          <w:sz w:val="18"/>
        </w:rPr>
        <w:t>Toelichting: Over de grens: kies een recht en een rechtbank. Tussen EU-partijen is Belgisch of Nederlands recht gebruikelijk; met een Britse partij vaak Engels recht.</w:t>
      </w:r>
    </w:p>
    <w:p>
      <w:pPr>
        <w:pStyle w:val="Heading2"/>
      </w:pPr>
      <w:r>
        <w:rPr>
          <w:color w:val="263B4B"/>
        </w:rPr>
        <w:t>Bijlagen</w:t>
      </w:r>
    </w:p>
    <w:p>
      <w:r>
        <w:rPr>
          <w:b w:val="0"/>
          <w:i w:val="0"/>
        </w:rPr>
        <w:t>Bijlage 1: scope en aanvaardingscriteria per module</w:t>
      </w:r>
    </w:p>
    <w:p>
      <w:r>
        <w:rPr>
          <w:b w:val="0"/>
          <w:i w:val="0"/>
        </w:rPr>
        <w:t>Bijlage 2: prijs per module, betaalplan en ondertekende wijzigingen</w:t>
      </w:r>
    </w:p>
    <w:p>
      <w:r>
        <w:rPr>
          <w:b w:val="0"/>
          <w:i w:val="0"/>
        </w:rPr>
        <w:t>Bijlage 3: bestaande tools en opensourcecomponenten</w:t>
      </w:r>
    </w:p>
    <w:p>
      <w:r>
        <w:rPr>
          <w:b w:val="0"/>
          <w:i w:val="0"/>
        </w:rPr>
        <w:t>Bijlage 4: verwerkersovereenkomst</w:t>
      </w:r>
    </w:p>
    <w:p>
      <w:r>
        <w:rPr>
          <w:b w:val="0"/>
          <w:i w:val="0"/>
        </w:rPr>
        <w:t>Bijlage 5: ondersteuning en onderhoud</w:t>
      </w:r>
    </w:p>
    <w:p>
      <w:pPr>
        <w:pStyle w:val="Heading2"/>
      </w:pPr>
      <w:r>
        <w:rPr>
          <w:color w:val="263B4B"/>
        </w:rPr>
        <w:t>Handtekeningen</w:t>
      </w:r>
    </w:p>
    <w:tbl>
      <w:tblPr>
        <w:tblStyle w:val="TableGrid"/>
        <w:tblW w:type="auto" w:w="0"/>
        <w:jc w:val="left"/>
        <w:tblLook w:firstColumn="1" w:firstRow="1" w:lastColumn="0" w:lastRow="0" w:noHBand="0" w:noVBand="1" w:val="04A0"/>
      </w:tblPr>
      <w:tblGrid>
        <w:gridCol w:w="3251"/>
        <w:gridCol w:w="3251"/>
        <w:gridCol w:w="3251"/>
      </w:tblGrid>
      <w:tr>
        <w:tc>
          <w:tcPr>
            <w:tcW w:type="dxa" w:w="1984"/>
            <w:shd w:val="clear" w:color="auto" w:fill="1B77C4"/>
          </w:tcPr>
          <w:p>
            <w:r/>
            <w:r>
              <w:rPr>
                <w:b/>
                <w:color w:val="FFFFFF"/>
              </w:rPr>
            </w:r>
          </w:p>
        </w:tc>
        <w:tc>
          <w:tcPr>
            <w:tcW w:type="dxa" w:w="3685"/>
            <w:shd w:val="clear" w:color="auto" w:fill="1B77C4"/>
          </w:tcPr>
          <w:p>
            <w:r/>
            <w:r>
              <w:rPr>
                <w:b/>
                <w:color w:val="FFFFFF"/>
              </w:rPr>
              <w:t>Klant</w:t>
            </w:r>
          </w:p>
        </w:tc>
        <w:tc>
          <w:tcPr>
            <w:tcW w:type="dxa" w:w="3685"/>
            <w:shd w:val="clear" w:color="auto" w:fill="1B77C4"/>
          </w:tcPr>
          <w:p>
            <w:r/>
            <w:r>
              <w:rPr>
                <w:b/>
                <w:color w:val="FFFFFF"/>
              </w:rPr>
              <w:t>Leverancier</w:t>
            </w:r>
          </w:p>
        </w:tc>
      </w:tr>
      <w:tr>
        <w:tc>
          <w:tcPr>
            <w:tcW w:type="dxa" w:w="1984"/>
          </w:tcPr>
          <w:p>
            <w:r>
              <w:t>Naam</w:t>
            </w:r>
          </w:p>
        </w:tc>
        <w:tc>
          <w:tcPr>
            <w:tcW w:type="dxa" w:w="3685"/>
          </w:tcPr>
          <w:p>
            <w:r/>
          </w:p>
        </w:tc>
        <w:tc>
          <w:tcPr>
            <w:tcW w:type="dxa" w:w="3685"/>
          </w:tcPr>
          <w:p>
            <w:r/>
          </w:p>
        </w:tc>
      </w:tr>
      <w:tr>
        <w:tc>
          <w:tcPr>
            <w:tcW w:type="dxa" w:w="1984"/>
          </w:tcPr>
          <w:p>
            <w:r>
              <w:t>Functie</w:t>
            </w:r>
          </w:p>
        </w:tc>
        <w:tc>
          <w:tcPr>
            <w:tcW w:type="dxa" w:w="3685"/>
          </w:tcPr>
          <w:p>
            <w:r/>
          </w:p>
        </w:tc>
        <w:tc>
          <w:tcPr>
            <w:tcW w:type="dxa" w:w="3685"/>
          </w:tcPr>
          <w:p>
            <w:r/>
          </w:p>
        </w:tc>
      </w:tr>
      <w:tr>
        <w:tc>
          <w:tcPr>
            <w:tcW w:type="dxa" w:w="1984"/>
          </w:tcPr>
          <w:p>
            <w:r>
              <w:t>Datum</w:t>
            </w:r>
          </w:p>
        </w:tc>
        <w:tc>
          <w:tcPr>
            <w:tcW w:type="dxa" w:w="3685"/>
          </w:tcPr>
          <w:p>
            <w:r/>
          </w:p>
        </w:tc>
        <w:tc>
          <w:tcPr>
            <w:tcW w:type="dxa" w:w="3685"/>
          </w:tcPr>
          <w:p>
            <w:r/>
          </w:p>
        </w:tc>
      </w:tr>
      <w:tr>
        <w:tc>
          <w:tcPr>
            <w:tcW w:type="dxa" w:w="1984"/>
          </w:tcPr>
          <w:p>
            <w:r>
              <w:t>Handtekening</w:t>
            </w:r>
          </w:p>
        </w:tc>
        <w:tc>
          <w:tcPr>
            <w:tcW w:type="dxa" w:w="3685"/>
          </w:tcPr>
          <w:p>
            <w:r/>
          </w:p>
        </w:tc>
        <w:tc>
          <w:tcPr>
            <w:tcW w:type="dxa" w:w="3685"/>
          </w:tcPr>
          <w:p>
            <w:r/>
          </w:p>
        </w:tc>
      </w:tr>
    </w:tbl>
    <w:p/>
    <w:p>
      <w:r>
        <w:br w:type="page"/>
      </w:r>
    </w:p>
    <w:p>
      <w:pPr>
        <w:pStyle w:val="Title"/>
      </w:pPr>
      <w:r>
        <w:rPr>
          <w:color w:val="263B4B"/>
        </w:rPr>
        <w:t>Voorbeeld: de clausules die kopers vergeten, ingevuld</w:t>
      </w:r>
    </w:p>
    <w:p>
      <w:r>
        <w:rPr>
          <w:b w:val="0"/>
          <w:i/>
          <w:color w:val="4C5D6A"/>
        </w:rPr>
        <w:t>Een fictief logistiek bedrijf in Gent bestelt een planningsplatform bij een softwarebedrijf in België. Vijf clausules, ingevuld.</w:t>
      </w:r>
    </w:p>
    <w:p>
      <w:pPr>
        <w:pStyle w:val="Heading2"/>
      </w:pPr>
      <w:r>
        <w:rPr>
          <w:color w:val="263B4B"/>
        </w:rPr>
        <w:t>Scope in modules</w:t>
      </w:r>
    </w:p>
    <w:p>
      <w:r>
        <w:rPr>
          <w:b w:val="0"/>
          <w:i w:val="0"/>
        </w:rPr>
        <w:t>Module 1: planbord voor 40 ritten per dag. Module 2: chauffeursapp in het Nederlands, Frans en Pools. Module 3: export naar het boekhoudpakket. Aanvaardingscriteria per module in Bijlage 1.</w:t>
      </w:r>
    </w:p>
    <w:p>
      <w:pPr>
        <w:pStyle w:val="Heading2"/>
      </w:pPr>
      <w:r>
        <w:rPr>
          <w:color w:val="263B4B"/>
        </w:rPr>
        <w:t>Wijzigingen</w:t>
      </w:r>
    </w:p>
    <w:p>
      <w:r>
        <w:rPr>
          <w:b w:val="0"/>
          <w:i w:val="0"/>
        </w:rPr>
        <w:t>Wijziging 1, ondertekend op 12 maart: een tweede depot in Antwerpen. Effect: een extra scherm, 6 werkdagen, geprijsd als nieuwe regel in Bijlage 2 voor het werk start.</w:t>
      </w:r>
    </w:p>
    <w:p>
      <w:pPr>
        <w:pStyle w:val="Heading2"/>
      </w:pPr>
      <w:r>
        <w:rPr>
          <w:color w:val="263B4B"/>
        </w:rPr>
        <w:t>Eigendom van de code</w:t>
      </w:r>
    </w:p>
    <w:p>
      <w:r>
        <w:rPr>
          <w:b w:val="0"/>
          <w:i w:val="0"/>
        </w:rPr>
        <w:t>Alle rechten op de Software worden aan de Klant overgedragen bij betaling van elke module. De scripts van de Leverancier om de Software live te zetten, krijgt de Klant in licentie, eeuwigdurend en kosteloos.</w:t>
      </w:r>
    </w:p>
    <w:p>
      <w:pPr>
        <w:pStyle w:val="Heading2"/>
      </w:pPr>
      <w:r>
        <w:rPr>
          <w:color w:val="263B4B"/>
        </w:rPr>
        <w:t>Repository en accounts</w:t>
      </w:r>
    </w:p>
    <w:p>
      <w:r>
        <w:rPr>
          <w:b w:val="0"/>
          <w:i w:val="0"/>
        </w:rPr>
        <w:t>Repository in de GitHub-organisatie van de Klant vanaf de eerste commit. Domeinnaam en cloudaccount op naam van de Klant, de Leverancier uitgenodigd als gebruiker.</w:t>
      </w:r>
    </w:p>
    <w:p>
      <w:pPr>
        <w:pStyle w:val="Heading2"/>
      </w:pPr>
      <w:r>
        <w:rPr>
          <w:color w:val="263B4B"/>
        </w:rPr>
        <w:t>Toepasselijk recht</w:t>
      </w:r>
    </w:p>
    <w:p>
      <w:r>
        <w:rPr>
          <w:b w:val="0"/>
          <w:i w:val="0"/>
        </w:rPr>
        <w:t>Belgisch recht. Rechtbanken van Gent. Eerst bemiddeling, binnen 30 dagen na een schriftelijke melding van het geschil.</w:t>
      </w:r>
    </w:p>
    <w:p>
      <w:r>
        <w:rPr>
          <w:b w:val="0"/>
          <w:i/>
          <w:color w:val="4C5D6A"/>
          <w:sz w:val="17"/>
        </w:rPr>
        <w:t>Sjabloon van VBS Marketing, Gent. vbsmarketing.eu/nl/sjablonen</w:t>
      </w:r>
    </w:p>
    <w:sectPr w:rsidR="00FC693F" w:rsidRPr="0006063C" w:rsidSect="00034616">
      <w:pgSz w:w="11906" w:h="16838"/>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63B4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63B4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63B4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63B4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VBS Marketing</dc:creator>
  <cp:keywords/>
  <dc:description>generated by python-docx</dc:description>
  <cp:lastModifiedBy/>
  <cp:revision>1</cp:revision>
  <dcterms:created xsi:type="dcterms:W3CDTF">2013-12-23T23:15:00Z</dcterms:created>
  <dcterms:modified xsi:type="dcterms:W3CDTF">2013-12-23T23:15:00Z</dcterms:modified>
  <cp:category/>
  <dc:language>nl-BE</dc:language>
</cp:coreProperties>
</file>