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My marketing plan</w:t>
      </w:r>
    </w:p>
    <w:p>
      <w:r>
        <w:rPr>
          <w:sz w:val="18"/>
        </w:rPr>
        <w:t>Marketing plan on one page. Template by VBS Marketing, vbsmarketing.eu</w:t>
      </w:r>
    </w:p>
    <w:p>
      <w:pPr>
        <w:pStyle w:val="Heading2"/>
      </w:pPr>
      <w:r>
        <w:rPr>
          <w:color w:val="263B4B"/>
        </w:rPr>
        <w:t>1. Goal</w:t>
      </w:r>
    </w:p>
    <w:p>
      <w:r>
        <w:rPr>
          <w:i/>
        </w:rPr>
        <w:t>One sentence with a number and a date. What do you want to have reached in twelve months?</w:t>
      </w:r>
    </w:p>
    <w:p>
      <w:r>
        <w:br/>
      </w:r>
    </w:p>
    <w:p>
      <w:pPr>
        <w:pStyle w:val="Heading2"/>
      </w:pPr>
      <w:r>
        <w:rPr>
          <w:color w:val="263B4B"/>
        </w:rPr>
        <w:t>2. Audience</w:t>
      </w:r>
    </w:p>
    <w:p>
      <w:r>
        <w:rPr>
          <w:i/>
        </w:rPr>
        <w:t>Who buys, which problem do you solve, and where do they look for a solution?</w:t>
      </w:r>
    </w:p>
    <w:p>
      <w:r>
        <w:br/>
      </w:r>
    </w:p>
    <w:p>
      <w:pPr>
        <w:pStyle w:val="Heading2"/>
      </w:pPr>
      <w:r>
        <w:rPr>
          <w:color w:val="263B4B"/>
        </w:rPr>
        <w:t>3. Message</w:t>
      </w:r>
    </w:p>
    <w:p>
      <w:r>
        <w:rPr>
          <w:i/>
        </w:rPr>
        <w:t>Your promise in one sentence, and the proof that it holds.</w:t>
      </w:r>
    </w:p>
    <w:p>
      <w:r>
        <w:br/>
      </w:r>
    </w:p>
    <w:p>
      <w:pPr>
        <w:pStyle w:val="Heading2"/>
      </w:pPr>
      <w:r>
        <w:rPr>
          <w:color w:val="263B4B"/>
        </w:rPr>
        <w:t>4. Channels and budget</w:t>
      </w:r>
    </w:p>
    <w:tbl>
      <w:tblPr>
        <w:tblStyle w:val="LightGrid-Accent1"/>
        <w:tblW w:type="auto" w:w="0"/>
        <w:tblLook w:firstColumn="1" w:firstRow="1" w:lastColumn="0" w:lastRow="0" w:noHBand="0" w:noVBand="1" w:val="04A0"/>
      </w:tblPr>
      <w:tblGrid>
        <w:gridCol w:w="3251"/>
        <w:gridCol w:w="3251"/>
        <w:gridCol w:w="3251"/>
      </w:tblGrid>
      <w:tr>
        <w:tc>
          <w:tcPr>
            <w:tcW w:type="dxa" w:w="3251"/>
          </w:tcPr>
          <w:p>
            <w:r>
              <w:t>Channel</w:t>
            </w:r>
          </w:p>
        </w:tc>
        <w:tc>
          <w:tcPr>
            <w:tcW w:type="dxa" w:w="3251"/>
          </w:tcPr>
          <w:p>
            <w:r>
              <w:t>What it must do</w:t>
            </w:r>
          </w:p>
        </w:tc>
        <w:tc>
          <w:tcPr>
            <w:tcW w:type="dxa" w:w="3251"/>
          </w:tcPr>
          <w:p>
            <w:r>
              <w:t>Per month</w:t>
            </w:r>
          </w:p>
        </w:tc>
      </w:tr>
      <w:tr>
        <w:tc>
          <w:tcPr>
            <w:tcW w:type="dxa" w:w="3251"/>
          </w:tcPr>
          <w:p>
            <w:r/>
          </w:p>
        </w:tc>
        <w:tc>
          <w:tcPr>
            <w:tcW w:type="dxa" w:w="3251"/>
          </w:tcPr>
          <w:p>
            <w:r/>
          </w:p>
        </w:tc>
        <w:tc>
          <w:tcPr>
            <w:tcW w:type="dxa" w:w="3251"/>
          </w:tcPr>
          <w:p>
            <w:r/>
          </w:p>
        </w:tc>
      </w:tr>
      <w:tr>
        <w:tc>
          <w:tcPr>
            <w:tcW w:type="dxa" w:w="3251"/>
          </w:tcPr>
          <w:p>
            <w:r/>
          </w:p>
        </w:tc>
        <w:tc>
          <w:tcPr>
            <w:tcW w:type="dxa" w:w="3251"/>
          </w:tcPr>
          <w:p>
            <w:r/>
          </w:p>
        </w:tc>
        <w:tc>
          <w:tcPr>
            <w:tcW w:type="dxa" w:w="3251"/>
          </w:tcPr>
          <w:p>
            <w:r/>
          </w:p>
        </w:tc>
      </w:tr>
      <w:tr>
        <w:tc>
          <w:tcPr>
            <w:tcW w:type="dxa" w:w="3251"/>
          </w:tcPr>
          <w:p>
            <w:r/>
          </w:p>
        </w:tc>
        <w:tc>
          <w:tcPr>
            <w:tcW w:type="dxa" w:w="3251"/>
          </w:tcPr>
          <w:p>
            <w:r/>
          </w:p>
        </w:tc>
        <w:tc>
          <w:tcPr>
            <w:tcW w:type="dxa" w:w="3251"/>
          </w:tcPr>
          <w:p>
            <w:r/>
          </w:p>
        </w:tc>
      </w:tr>
      <w:tr>
        <w:tc>
          <w:tcPr>
            <w:tcW w:type="dxa" w:w="3251"/>
          </w:tcPr>
          <w:p>
            <w:r/>
          </w:p>
        </w:tc>
        <w:tc>
          <w:tcPr>
            <w:tcW w:type="dxa" w:w="3251"/>
          </w:tcPr>
          <w:p>
            <w:r/>
          </w:p>
        </w:tc>
        <w:tc>
          <w:tcPr>
            <w:tcW w:type="dxa" w:w="3251"/>
          </w:tcPr>
          <w:p>
            <w:r/>
          </w:p>
        </w:tc>
      </w:tr>
      <w:tr>
        <w:tc>
          <w:tcPr>
            <w:tcW w:type="dxa" w:w="3251"/>
          </w:tcPr>
          <w:p>
            <w:r/>
          </w:p>
        </w:tc>
        <w:tc>
          <w:tcPr>
            <w:tcW w:type="dxa" w:w="3251"/>
          </w:tcPr>
          <w:p>
            <w:r/>
          </w:p>
        </w:tc>
        <w:tc>
          <w:tcPr>
            <w:tcW w:type="dxa" w:w="3251"/>
          </w:tcPr>
          <w:p>
            <w:r/>
          </w:p>
        </w:tc>
      </w:tr>
    </w:tbl>
    <w:p>
      <w:pPr>
        <w:pStyle w:val="Heading2"/>
      </w:pPr>
      <w:r>
        <w:rPr>
          <w:color w:val="263B4B"/>
        </w:rPr>
        <w:t>5. Rhythm</w:t>
      </w:r>
    </w:p>
    <w:p>
      <w:r>
        <w:rPr>
          <w:i/>
        </w:rPr>
        <w:t>What happens every week, every month and every quarter?</w:t>
      </w:r>
    </w:p>
    <w:p>
      <w:r>
        <w:br/>
      </w:r>
    </w:p>
    <w:p>
      <w:pPr>
        <w:pStyle w:val="Heading2"/>
      </w:pPr>
      <w:r>
        <w:rPr>
          <w:color w:val="263B4B"/>
        </w:rPr>
        <w:t>6. Measure</w:t>
      </w:r>
    </w:p>
    <w:p>
      <w:r>
        <w:rPr>
          <w:i/>
        </w:rPr>
        <w:t>Which numbers do you check, where do you get them, and what is your goal per quarter?</w:t>
      </w:r>
    </w:p>
    <w:p>
      <w:r>
        <w:br/>
      </w:r>
    </w:p>
    <w:p>
      <w:r>
        <w:br w:type="page"/>
      </w:r>
    </w:p>
    <w:p>
      <w:pPr>
        <w:pStyle w:val="Title"/>
      </w:pPr>
      <w:r>
        <w:rPr>
          <w:color w:val="263B4B"/>
        </w:rPr>
        <w:t>Example: a B2B IT services company</w:t>
      </w:r>
    </w:p>
    <w:p>
      <w:r>
        <w:rPr>
          <w:sz w:val="18"/>
        </w:rPr>
        <w:t>Marketing plan on one page. Template by VBS Marketing, vbsmarketing.eu</w:t>
      </w:r>
    </w:p>
    <w:p>
      <w:pPr>
        <w:pStyle w:val="Heading2"/>
      </w:pPr>
      <w:r>
        <w:rPr>
          <w:color w:val="263B4B"/>
        </w:rPr>
        <w:t>1. Goal</w:t>
      </w:r>
    </w:p>
    <w:p>
      <w:r>
        <w:t>By the end of 2027, 20 qualified leads a month from companies with 20 to 200 staff in the Netherlands and Belgium; today there are 7.</w:t>
      </w:r>
    </w:p>
    <w:p>
      <w:pPr>
        <w:pStyle w:val="Heading2"/>
      </w:pPr>
      <w:r>
        <w:rPr>
          <w:color w:val="263B4B"/>
        </w:rPr>
        <w:t>2. Audience</w:t>
      </w:r>
    </w:p>
    <w:p>
      <w:r>
        <w:t>Operations and finance managers at SMEs whose IT is run by one overloaded colleague. They search Google ('managed it services' plus the city), ask peers on LinkedIn and compare three providers.</w:t>
      </w:r>
    </w:p>
    <w:p>
      <w:pPr>
        <w:pStyle w:val="Heading2"/>
      </w:pPr>
      <w:r>
        <w:rPr>
          <w:color w:val="263B4B"/>
        </w:rPr>
        <w:t>3. Message</w:t>
      </w:r>
    </w:p>
    <w:p>
      <w:r>
        <w:t>IT support that answers within the hour, at a fixed price per workstation. Proof: response times on the site, two customer cases with names, the price list online.</w:t>
      </w:r>
    </w:p>
    <w:p>
      <w:pPr>
        <w:pStyle w:val="Heading2"/>
      </w:pPr>
      <w:r>
        <w:rPr>
          <w:color w:val="263B4B"/>
        </w:rPr>
        <w:t>4. Channels and budget</w:t>
      </w:r>
    </w:p>
    <w:tbl>
      <w:tblPr>
        <w:tblStyle w:val="LightGrid-Accent1"/>
        <w:tblW w:type="auto" w:w="0"/>
        <w:tblLook w:firstColumn="1" w:firstRow="1" w:lastColumn="0" w:lastRow="0" w:noHBand="0" w:noVBand="1" w:val="04A0"/>
      </w:tblPr>
      <w:tblGrid>
        <w:gridCol w:w="3251"/>
        <w:gridCol w:w="3251"/>
        <w:gridCol w:w="3251"/>
      </w:tblGrid>
      <w:tr>
        <w:tc>
          <w:tcPr>
            <w:tcW w:type="dxa" w:w="3251"/>
          </w:tcPr>
          <w:p>
            <w:r>
              <w:t>Channel</w:t>
            </w:r>
          </w:p>
        </w:tc>
        <w:tc>
          <w:tcPr>
            <w:tcW w:type="dxa" w:w="3251"/>
          </w:tcPr>
          <w:p>
            <w:r>
              <w:t>What it must do</w:t>
            </w:r>
          </w:p>
        </w:tc>
        <w:tc>
          <w:tcPr>
            <w:tcW w:type="dxa" w:w="3251"/>
          </w:tcPr>
          <w:p>
            <w:r>
              <w:t>Per month</w:t>
            </w:r>
          </w:p>
        </w:tc>
      </w:tr>
      <w:tr>
        <w:tc>
          <w:tcPr>
            <w:tcW w:type="dxa" w:w="3251"/>
          </w:tcPr>
          <w:p>
            <w:r>
              <w:t>Website and SEO</w:t>
            </w:r>
          </w:p>
        </w:tc>
        <w:tc>
          <w:tcPr>
            <w:tcW w:type="dxa" w:w="3251"/>
          </w:tcPr>
          <w:p>
            <w:r>
              <w:t>Found on 'managed it services' plus city and service</w:t>
            </w:r>
          </w:p>
        </w:tc>
        <w:tc>
          <w:tcPr>
            <w:tcW w:type="dxa" w:w="3251"/>
          </w:tcPr>
          <w:p>
            <w:r>
              <w:t>EUR 2,500</w:t>
            </w:r>
          </w:p>
        </w:tc>
      </w:tr>
      <w:tr>
        <w:tc>
          <w:tcPr>
            <w:tcW w:type="dxa" w:w="3251"/>
          </w:tcPr>
          <w:p>
            <w:r>
              <w:t>LinkedIn Ads</w:t>
            </w:r>
          </w:p>
        </w:tc>
        <w:tc>
          <w:tcPr>
            <w:tcW w:type="dxa" w:w="3251"/>
          </w:tcPr>
          <w:p>
            <w:r>
              <w:t>Reach operations managers by company size</w:t>
            </w:r>
          </w:p>
        </w:tc>
        <w:tc>
          <w:tcPr>
            <w:tcW w:type="dxa" w:w="3251"/>
          </w:tcPr>
          <w:p>
            <w:r>
              <w:t>EUR 1,500</w:t>
            </w:r>
          </w:p>
        </w:tc>
      </w:tr>
      <w:tr>
        <w:tc>
          <w:tcPr>
            <w:tcW w:type="dxa" w:w="3251"/>
          </w:tcPr>
          <w:p>
            <w:r>
              <w:t>Google Ads</w:t>
            </w:r>
          </w:p>
        </w:tc>
        <w:tc>
          <w:tcPr>
            <w:tcW w:type="dxa" w:w="3251"/>
          </w:tcPr>
          <w:p>
            <w:r>
              <w:t>Leads from people comparing providers now</w:t>
            </w:r>
          </w:p>
        </w:tc>
        <w:tc>
          <w:tcPr>
            <w:tcW w:type="dxa" w:w="3251"/>
          </w:tcPr>
          <w:p>
            <w:r>
              <w:t>EUR 1,500</w:t>
            </w:r>
          </w:p>
        </w:tc>
      </w:tr>
      <w:tr>
        <w:tc>
          <w:tcPr>
            <w:tcW w:type="dxa" w:w="3251"/>
          </w:tcPr>
          <w:p>
            <w:r>
              <w:t>Webinars</w:t>
            </w:r>
          </w:p>
        </w:tc>
        <w:tc>
          <w:tcPr>
            <w:tcW w:type="dxa" w:w="3251"/>
          </w:tcPr>
          <w:p>
            <w:r>
              <w:t>Show expertise, collect warm leads</w:t>
            </w:r>
          </w:p>
        </w:tc>
        <w:tc>
          <w:tcPr>
            <w:tcW w:type="dxa" w:w="3251"/>
          </w:tcPr>
          <w:p>
            <w:r>
              <w:t>EUR 800</w:t>
            </w:r>
          </w:p>
        </w:tc>
      </w:tr>
      <w:tr>
        <w:tc>
          <w:tcPr>
            <w:tcW w:type="dxa" w:w="3251"/>
          </w:tcPr>
          <w:p>
            <w:r>
              <w:t>Newsletter</w:t>
            </w:r>
          </w:p>
        </w:tc>
        <w:tc>
          <w:tcPr>
            <w:tcW w:type="dxa" w:w="3251"/>
          </w:tcPr>
          <w:p>
            <w:r>
              <w:t>Keep customers and prospects warm</w:t>
            </w:r>
          </w:p>
        </w:tc>
        <w:tc>
          <w:tcPr>
            <w:tcW w:type="dxa" w:w="3251"/>
          </w:tcPr>
          <w:p>
            <w:r>
              <w:t>EUR 200</w:t>
            </w:r>
          </w:p>
        </w:tc>
      </w:tr>
      <w:tr>
        <w:tc>
          <w:tcPr>
            <w:tcW w:type="dxa" w:w="3251"/>
          </w:tcPr>
          <w:p>
            <w:r>
              <w:t>Reserve</w:t>
            </w:r>
          </w:p>
        </w:tc>
        <w:tc>
          <w:tcPr>
            <w:tcW w:type="dxa" w:w="3251"/>
          </w:tcPr>
          <w:p>
            <w:r>
              <w:t>Test what works</w:t>
            </w:r>
          </w:p>
        </w:tc>
        <w:tc>
          <w:tcPr>
            <w:tcW w:type="dxa" w:w="3251"/>
          </w:tcPr>
          <w:p>
            <w:r>
              <w:t>EUR 500</w:t>
            </w:r>
          </w:p>
        </w:tc>
      </w:tr>
    </w:tbl>
    <w:p>
      <w:pPr>
        <w:pStyle w:val="Heading2"/>
      </w:pPr>
      <w:r>
        <w:rPr>
          <w:color w:val="263B4B"/>
        </w:rPr>
        <w:t>5. Rhythm</w:t>
      </w:r>
    </w:p>
    <w:p>
      <w:r>
        <w:t>Every week: one LinkedIn post from an engineer about a real fix. Every month: a guide on the site and a webinar. Every quarter: review the numbers and move budget.</w:t>
      </w:r>
    </w:p>
    <w:p>
      <w:pPr>
        <w:pStyle w:val="Heading2"/>
      </w:pPr>
      <w:r>
        <w:rPr>
          <w:color w:val="263B4B"/>
        </w:rPr>
        <w:t>6. Measure</w:t>
      </w:r>
    </w:p>
    <w:p>
      <w:r>
        <w:t>Qualified leads per month (form, phone, webinar), cost per lead per channel, impressions and clicks in Search Console. Goal per quarter: 10, 13, 16, 20 leads a month.</w:t>
      </w:r>
    </w:p>
    <w:p>
      <w:pPr>
        <w:jc w:val="left"/>
      </w:pPr>
      <w:r>
        <w:t>More templates and tools: vbsmarketing.eu/en/templates</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