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63B4B"/>
        </w:rPr>
        <w:t>Software development contract template</w:t>
      </w:r>
    </w:p>
    <w:p>
      <w:r>
        <w:rPr>
          <w:b w:val="0"/>
          <w:i/>
          <w:color w:val="4C5D6A"/>
        </w:rPr>
        <w:t>A starting point to adapt with a lawyer in your own jurisdiction. Every clause has a note on what it settles. Fill in the parts in square brackets and delete the notes before signing.</w:t>
      </w:r>
    </w:p>
    <w:p>
      <w:pPr>
        <w:pStyle w:val="Heading2"/>
      </w:pPr>
      <w:r>
        <w:rPr>
          <w:color w:val="263B4B"/>
        </w:rPr>
        <w:t>1. Parties and purpose</w:t>
      </w:r>
    </w:p>
    <w:p>
      <w:r>
        <w:rPr>
          <w:b w:val="0"/>
          <w:i w:val="0"/>
        </w:rPr>
        <w:t>This agreement is made between [client name, registered address, company number] (the Client) and [supplier name, registered address, company number] (the Supplier) for the development of [short description of the software] (the Software).</w:t>
      </w:r>
    </w:p>
    <w:p>
      <w:r>
        <w:rPr>
          <w:b w:val="0"/>
          <w:i/>
          <w:color w:val="4C5D6A"/>
          <w:sz w:val="18"/>
        </w:rPr>
        <w:t>Note: Name the legal entities exactly as registered. A trading name is not a party.</w:t>
      </w:r>
    </w:p>
    <w:p>
      <w:pPr>
        <w:pStyle w:val="Heading2"/>
      </w:pPr>
      <w:r>
        <w:rPr>
          <w:color w:val="263B4B"/>
        </w:rPr>
        <w:t>2. Scope in modules</w:t>
      </w:r>
    </w:p>
    <w:p>
      <w:r>
        <w:rPr>
          <w:b w:val="0"/>
          <w:i w:val="0"/>
        </w:rPr>
        <w:t>The Supplier will build the modules described in Schedule 1, each with its functional description, the roles that use it and its acceptance criteria. Anything not in Schedule 1 is out of scope.</w:t>
      </w:r>
    </w:p>
    <w:p>
      <w:r>
        <w:rPr>
          <w:b w:val="0"/>
          <w:i/>
          <w:color w:val="4C5D6A"/>
          <w:sz w:val="18"/>
        </w:rPr>
        <w:t>Note: Scope in modules lets you sign, pay and accept per module. Attach the specification as Schedule 1.</w:t>
      </w:r>
    </w:p>
    <w:p>
      <w:pPr>
        <w:pStyle w:val="Heading2"/>
      </w:pPr>
      <w:r>
        <w:rPr>
          <w:color w:val="263B4B"/>
        </w:rPr>
        <w:t>3. Price and payment</w:t>
      </w:r>
    </w:p>
    <w:p>
      <w:r>
        <w:rPr>
          <w:b w:val="0"/>
          <w:i w:val="0"/>
        </w:rPr>
        <w:t>The price per module is fixed as stated in Schedule 2. [Percentage] is invoiced at the start of a module and the rest on acceptance. Prices exclude VAT. Invoices are payable within [30] days.</w:t>
      </w:r>
    </w:p>
    <w:p>
      <w:r>
        <w:rPr>
          <w:b w:val="0"/>
          <w:i/>
          <w:color w:val="4C5D6A"/>
          <w:sz w:val="18"/>
        </w:rPr>
        <w:t>Note: A fixed price per module puts the risk of the estimate on the Supplier. For time and materials, replace this clause with rates, a weekly report and a cap.</w:t>
      </w:r>
    </w:p>
    <w:p>
      <w:pPr>
        <w:pStyle w:val="Heading2"/>
      </w:pPr>
      <w:r>
        <w:rPr>
          <w:color w:val="263B4B"/>
        </w:rPr>
        <w:t>4. Changes</w:t>
      </w:r>
    </w:p>
    <w:p>
      <w:r>
        <w:rPr>
          <w:b w:val="0"/>
          <w:i w:val="0"/>
        </w:rPr>
        <w:t>Either party may propose a change in writing. The Supplier describes its effect on price and timing within [5] working days. A change is only carried out after both parties sign it as a new line in Schedule 2.</w:t>
      </w:r>
    </w:p>
    <w:p>
      <w:r>
        <w:rPr>
          <w:b w:val="0"/>
          <w:i/>
          <w:color w:val="4C5D6A"/>
          <w:sz w:val="18"/>
        </w:rPr>
        <w:t>Note: This is the clause that prevents budget drift. Changes are normal; unpriced changes are the problem.</w:t>
      </w:r>
    </w:p>
    <w:p>
      <w:pPr>
        <w:pStyle w:val="Heading2"/>
      </w:pPr>
      <w:r>
        <w:rPr>
          <w:color w:val="263B4B"/>
        </w:rPr>
        <w:t>5. Delivery and acceptance</w:t>
      </w:r>
    </w:p>
    <w:p>
      <w:r>
        <w:rPr>
          <w:b w:val="0"/>
          <w:i w:val="0"/>
        </w:rPr>
        <w:t>The Supplier delivers each module on a test environment. The Client tests against the acceptance criteria within [10] working days and accepts or lists the defects. The Supplier fixes listed defects and delivers again. A module is accepted when the Client confirms in writing, or when the period passes without a defect list.</w:t>
      </w:r>
    </w:p>
    <w:p>
      <w:r>
        <w:rPr>
          <w:b w:val="0"/>
          <w:i/>
          <w:color w:val="4C5D6A"/>
          <w:sz w:val="18"/>
        </w:rPr>
        <w:t>Note: Without a deadline for testing, a module can stay unaccepted forever; without criteria, every test becomes a negotiation.</w:t>
      </w:r>
    </w:p>
    <w:p>
      <w:pPr>
        <w:pStyle w:val="Heading2"/>
      </w:pPr>
      <w:r>
        <w:rPr>
          <w:color w:val="263B4B"/>
        </w:rPr>
        <w:t>6. Ownership of the code and intellectual property</w:t>
      </w:r>
    </w:p>
    <w:p>
      <w:r>
        <w:rPr>
          <w:b w:val="0"/>
          <w:i w:val="0"/>
        </w:rPr>
        <w:t>All intellectual property rights in the Software, including source code, designs and documentation created for the Client, are assigned to the Client [on creation / on payment of each module]. The Supplier keeps its pre-existing tools and libraries and grants the Client a perpetual, royalty-free licence to use them as part of the Software. Open source components remain under their own licences, listed in Schedule 3.</w:t>
      </w:r>
    </w:p>
    <w:p>
      <w:r>
        <w:rPr>
          <w:b w:val="0"/>
          <w:i/>
          <w:color w:val="4C5D6A"/>
          <w:sz w:val="18"/>
        </w:rPr>
        <w:t>Note: In the US, work made for hire covers employees and some commissioned works; in the UK, the EU, Belgium and the Netherlands the author owns the copyright unless it is assigned in writing. Write the assignment out in full.</w:t>
      </w:r>
    </w:p>
    <w:p>
      <w:pPr>
        <w:pStyle w:val="Heading2"/>
      </w:pPr>
      <w:r>
        <w:rPr>
          <w:color w:val="263B4B"/>
        </w:rPr>
        <w:t>7. Repository, accounts and access</w:t>
      </w:r>
    </w:p>
    <w:p>
      <w:r>
        <w:rPr>
          <w:b w:val="0"/>
          <w:i w:val="0"/>
        </w:rPr>
        <w:t>The source code is kept from the first commit in a repository owned by the Client, to which the Supplier has access. Domains, cloud accounts and app store accounts are registered in the Client's name.</w:t>
      </w:r>
    </w:p>
    <w:p>
      <w:r>
        <w:rPr>
          <w:b w:val="0"/>
          <w:i/>
          <w:color w:val="4C5D6A"/>
          <w:sz w:val="18"/>
        </w:rPr>
        <w:t>Note: The single most useful clause for a buyer: you can continue with another supplier at any moment.</w:t>
      </w:r>
    </w:p>
    <w:p>
      <w:pPr>
        <w:pStyle w:val="Heading2"/>
      </w:pPr>
      <w:r>
        <w:rPr>
          <w:color w:val="263B4B"/>
        </w:rPr>
        <w:t>8. Hosting, data and security</w:t>
      </w:r>
    </w:p>
    <w:p>
      <w:r>
        <w:rPr>
          <w:b w:val="0"/>
          <w:i w:val="0"/>
        </w:rPr>
        <w:t>The Software and its backups are hosted in [region]. Where the Supplier processes personal data on behalf of the Client, the parties sign the data processing agreement in Schedule 4, which forms part of this agreement.</w:t>
      </w:r>
    </w:p>
    <w:p>
      <w:r>
        <w:rPr>
          <w:b w:val="0"/>
          <w:i/>
          <w:color w:val="4C5D6A"/>
          <w:sz w:val="18"/>
        </w:rPr>
        <w:t>Note: Article 28 GDPR requires a written processing agreement. Name the hosting region if your customers ask for it.</w:t>
      </w:r>
    </w:p>
    <w:p>
      <w:pPr>
        <w:pStyle w:val="Heading2"/>
      </w:pPr>
      <w:r>
        <w:rPr>
          <w:color w:val="263B4B"/>
        </w:rPr>
        <w:t>9. Warranty</w:t>
      </w:r>
    </w:p>
    <w:p>
      <w:r>
        <w:rPr>
          <w:b w:val="0"/>
          <w:i w:val="0"/>
        </w:rPr>
        <w:t>The Supplier warrants that each accepted module performs according to its acceptance criteria for [3] months after acceptance and will fix defects reported in that period without charge.</w:t>
      </w:r>
    </w:p>
    <w:p>
      <w:r>
        <w:rPr>
          <w:b w:val="0"/>
          <w:i/>
          <w:color w:val="4C5D6A"/>
          <w:sz w:val="18"/>
        </w:rPr>
        <w:t>Note: A defined warranty period separates defects from new wishes.</w:t>
      </w:r>
    </w:p>
    <w:p>
      <w:pPr>
        <w:pStyle w:val="Heading2"/>
      </w:pPr>
      <w:r>
        <w:rPr>
          <w:color w:val="263B4B"/>
        </w:rPr>
        <w:t>10. Support and maintenance</w:t>
      </w:r>
    </w:p>
    <w:p>
      <w:r>
        <w:rPr>
          <w:b w:val="0"/>
          <w:i w:val="0"/>
        </w:rPr>
        <w:t>Support after the warranty period is provided under Schedule 5, which sets response times, the hours of support, the price and what is included.</w:t>
      </w:r>
    </w:p>
    <w:p>
      <w:r>
        <w:rPr>
          <w:b w:val="0"/>
          <w:i/>
          <w:color w:val="4C5D6A"/>
          <w:sz w:val="18"/>
        </w:rPr>
        <w:t>Note: Keep support in a schedule, so it can change without reopening the contract.</w:t>
      </w:r>
    </w:p>
    <w:p>
      <w:pPr>
        <w:pStyle w:val="Heading2"/>
      </w:pPr>
      <w:r>
        <w:rPr>
          <w:color w:val="263B4B"/>
        </w:rPr>
        <w:t>11. Liability</w:t>
      </w:r>
    </w:p>
    <w:p>
      <w:r>
        <w:rPr>
          <w:b w:val="0"/>
          <w:i w:val="0"/>
        </w:rPr>
        <w:t>Each party's total liability under this agreement is limited to [the total price paid in the twelve months before the claim], except for [death or personal injury, fraud, wilful misconduct, and breach of confidentiality or data protection obligations].</w:t>
      </w:r>
    </w:p>
    <w:p>
      <w:r>
        <w:rPr>
          <w:b w:val="0"/>
          <w:i/>
          <w:color w:val="4C5D6A"/>
          <w:sz w:val="18"/>
        </w:rPr>
        <w:t>Note: Caps are normal; what is excluded from the cap is where lawyers earn their fee. Do not sign this clause unchecked.</w:t>
      </w:r>
    </w:p>
    <w:p>
      <w:pPr>
        <w:pStyle w:val="Heading2"/>
      </w:pPr>
      <w:r>
        <w:rPr>
          <w:color w:val="263B4B"/>
        </w:rPr>
        <w:t>12. Confidentiality</w:t>
      </w:r>
    </w:p>
    <w:p>
      <w:r>
        <w:rPr>
          <w:b w:val="0"/>
          <w:i w:val="0"/>
        </w:rPr>
        <w:t>Each party keeps the other party's confidential information confidential during the agreement and for [3] years after.</w:t>
      </w:r>
    </w:p>
    <w:p>
      <w:r>
        <w:rPr>
          <w:b w:val="0"/>
          <w:i/>
          <w:color w:val="4C5D6A"/>
          <w:sz w:val="18"/>
        </w:rPr>
        <w:t>Note: Add a non-disclosure agreement before the first call if you share sensitive material.</w:t>
      </w:r>
    </w:p>
    <w:p>
      <w:pPr>
        <w:pStyle w:val="Heading2"/>
      </w:pPr>
      <w:r>
        <w:rPr>
          <w:color w:val="263B4B"/>
        </w:rPr>
        <w:t>13. Termination and exit</w:t>
      </w:r>
    </w:p>
    <w:p>
      <w:r>
        <w:rPr>
          <w:b w:val="0"/>
          <w:i w:val="0"/>
        </w:rPr>
        <w:t>Either party may end the agreement with [30] days' written notice. The Client pays for work done up to that date. On termination, the Supplier hands over the code, documentation and all access within [10] working days.</w:t>
      </w:r>
    </w:p>
    <w:p>
      <w:r>
        <w:rPr>
          <w:b w:val="0"/>
          <w:i/>
          <w:color w:val="4C5D6A"/>
          <w:sz w:val="18"/>
        </w:rPr>
        <w:t>Note: An exit clause you can actually use makes a supplier relationship safer, not weaker.</w:t>
      </w:r>
    </w:p>
    <w:p>
      <w:pPr>
        <w:pStyle w:val="Heading2"/>
      </w:pPr>
      <w:r>
        <w:rPr>
          <w:color w:val="263B4B"/>
        </w:rPr>
        <w:t>14. Governing law and disputes</w:t>
      </w:r>
    </w:p>
    <w:p>
      <w:r>
        <w:rPr>
          <w:b w:val="0"/>
          <w:i w:val="0"/>
        </w:rPr>
        <w:t>This agreement is governed by the law of [country]. The courts of [city] have exclusive jurisdiction. [Optionally: disputes are first submitted to mediation.]</w:t>
      </w:r>
    </w:p>
    <w:p>
      <w:r>
        <w:rPr>
          <w:b w:val="0"/>
          <w:i/>
          <w:color w:val="4C5D6A"/>
          <w:sz w:val="18"/>
        </w:rPr>
        <w:t>Note: Cross-border: pick one law and one court. English law is common between UK and EU parties; Belgian or Dutch law between EU parties.</w:t>
      </w:r>
    </w:p>
    <w:p>
      <w:pPr>
        <w:pStyle w:val="Heading2"/>
      </w:pPr>
      <w:r>
        <w:rPr>
          <w:color w:val="263B4B"/>
        </w:rPr>
        <w:t>Schedules</w:t>
      </w:r>
    </w:p>
    <w:p>
      <w:r>
        <w:rPr>
          <w:b w:val="0"/>
          <w:i w:val="0"/>
        </w:rPr>
        <w:t>Schedule 1: scope and acceptance criteria per module</w:t>
      </w:r>
    </w:p>
    <w:p>
      <w:r>
        <w:rPr>
          <w:b w:val="0"/>
          <w:i w:val="0"/>
        </w:rPr>
        <w:t>Schedule 2: price per module, payment plan and signed changes</w:t>
      </w:r>
    </w:p>
    <w:p>
      <w:r>
        <w:rPr>
          <w:b w:val="0"/>
          <w:i w:val="0"/>
        </w:rPr>
        <w:t>Schedule 3: pre-existing tools and open source components</w:t>
      </w:r>
    </w:p>
    <w:p>
      <w:r>
        <w:rPr>
          <w:b w:val="0"/>
          <w:i w:val="0"/>
        </w:rPr>
        <w:t>Schedule 4: data processing agreement</w:t>
      </w:r>
    </w:p>
    <w:p>
      <w:r>
        <w:rPr>
          <w:b w:val="0"/>
          <w:i w:val="0"/>
        </w:rPr>
        <w:t>Schedule 5: support and maintenance</w:t>
      </w:r>
    </w:p>
    <w:p>
      <w:pPr>
        <w:pStyle w:val="Heading2"/>
      </w:pPr>
      <w:r>
        <w:rPr>
          <w:color w:val="263B4B"/>
        </w:rPr>
        <w:t>Signatures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1984"/>
            <w:shd w:val="clear" w:color="auto" w:fill="1B77C4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3685"/>
            <w:shd w:val="clear" w:color="auto" w:fill="1B77C4"/>
          </w:tcPr>
          <w:p>
            <w:r/>
            <w:r>
              <w:rPr>
                <w:b/>
                <w:color w:val="FFFFFF"/>
              </w:rPr>
              <w:t>Client</w:t>
            </w:r>
          </w:p>
        </w:tc>
        <w:tc>
          <w:tcPr>
            <w:tcW w:type="dxa" w:w="3685"/>
            <w:shd w:val="clear" w:color="auto" w:fill="1B77C4"/>
          </w:tcPr>
          <w:p>
            <w:r/>
            <w:r>
              <w:rPr>
                <w:b/>
                <w:color w:val="FFFFFF"/>
              </w:rPr>
              <w:t>Supplier</w:t>
            </w:r>
          </w:p>
        </w:tc>
      </w:tr>
      <w:tr>
        <w:tc>
          <w:tcPr>
            <w:tcW w:type="dxa" w:w="1984"/>
          </w:tcPr>
          <w:p>
            <w:r>
              <w:t>Name</w:t>
            </w:r>
          </w:p>
        </w:tc>
        <w:tc>
          <w:tcPr>
            <w:tcW w:type="dxa" w:w="3685"/>
          </w:tcPr>
          <w:p>
            <w:r/>
          </w:p>
        </w:tc>
        <w:tc>
          <w:tcPr>
            <w:tcW w:type="dxa" w:w="3685"/>
          </w:tcPr>
          <w:p>
            <w:r/>
          </w:p>
        </w:tc>
      </w:tr>
      <w:tr>
        <w:tc>
          <w:tcPr>
            <w:tcW w:type="dxa" w:w="1984"/>
          </w:tcPr>
          <w:p>
            <w:r>
              <w:t>Title</w:t>
            </w:r>
          </w:p>
        </w:tc>
        <w:tc>
          <w:tcPr>
            <w:tcW w:type="dxa" w:w="3685"/>
          </w:tcPr>
          <w:p>
            <w:r/>
          </w:p>
        </w:tc>
        <w:tc>
          <w:tcPr>
            <w:tcW w:type="dxa" w:w="3685"/>
          </w:tcPr>
          <w:p>
            <w:r/>
          </w:p>
        </w:tc>
      </w:tr>
      <w:tr>
        <w:tc>
          <w:tcPr>
            <w:tcW w:type="dxa" w:w="1984"/>
          </w:tcPr>
          <w:p>
            <w:r>
              <w:t>Date</w:t>
            </w:r>
          </w:p>
        </w:tc>
        <w:tc>
          <w:tcPr>
            <w:tcW w:type="dxa" w:w="3685"/>
          </w:tcPr>
          <w:p>
            <w:r/>
          </w:p>
        </w:tc>
        <w:tc>
          <w:tcPr>
            <w:tcW w:type="dxa" w:w="3685"/>
          </w:tcPr>
          <w:p>
            <w:r/>
          </w:p>
        </w:tc>
      </w:tr>
      <w:tr>
        <w:tc>
          <w:tcPr>
            <w:tcW w:type="dxa" w:w="1984"/>
          </w:tcPr>
          <w:p>
            <w:r>
              <w:t>Signature</w:t>
            </w:r>
          </w:p>
        </w:tc>
        <w:tc>
          <w:tcPr>
            <w:tcW w:type="dxa" w:w="3685"/>
          </w:tcPr>
          <w:p>
            <w:r/>
          </w:p>
        </w:tc>
        <w:tc>
          <w:tcPr>
            <w:tcW w:type="dxa" w:w="3685"/>
          </w:tcPr>
          <w:p>
            <w:r/>
          </w:p>
        </w:tc>
      </w:tr>
    </w:tbl>
    <w:p/>
    <w:p>
      <w:r>
        <w:br w:type="page"/>
      </w:r>
    </w:p>
    <w:p>
      <w:pPr>
        <w:pStyle w:val="Title"/>
      </w:pPr>
      <w:r>
        <w:rPr>
          <w:color w:val="263B4B"/>
        </w:rPr>
        <w:t>Example: the clauses buyers forget, filled in</w:t>
      </w:r>
    </w:p>
    <w:p>
      <w:r>
        <w:rPr>
          <w:b w:val="0"/>
          <w:i/>
          <w:color w:val="4C5D6A"/>
        </w:rPr>
        <w:t>A fictional logistics company in Rotterdam commissions a planning platform from a supplier in Belgium. Five clauses, filled in.</w:t>
      </w:r>
    </w:p>
    <w:p>
      <w:pPr>
        <w:pStyle w:val="Heading2"/>
      </w:pPr>
      <w:r>
        <w:rPr>
          <w:color w:val="263B4B"/>
        </w:rPr>
        <w:t>Scope in modules</w:t>
      </w:r>
    </w:p>
    <w:p>
      <w:r>
        <w:rPr>
          <w:b w:val="0"/>
          <w:i w:val="0"/>
        </w:rPr>
        <w:t>Module 1: planning board for 40 routes a day. Module 2: driver app in Dutch, English and Polish. Module 3: export to the accounting package. Acceptance criteria per module in Schedule 1.</w:t>
      </w:r>
    </w:p>
    <w:p>
      <w:pPr>
        <w:pStyle w:val="Heading2"/>
      </w:pPr>
      <w:r>
        <w:rPr>
          <w:color w:val="263B4B"/>
        </w:rPr>
        <w:t>Changes</w:t>
      </w:r>
    </w:p>
    <w:p>
      <w:r>
        <w:rPr>
          <w:b w:val="0"/>
          <w:i w:val="0"/>
        </w:rPr>
        <w:t>Change 1, signed 12 March: a second depot in Antwerp. Effect: one extra screen, 6 working days, priced as a new line in Schedule 2 before work starts.</w:t>
      </w:r>
    </w:p>
    <w:p>
      <w:pPr>
        <w:pStyle w:val="Heading2"/>
      </w:pPr>
      <w:r>
        <w:rPr>
          <w:color w:val="263B4B"/>
        </w:rPr>
        <w:t>Ownership of the code</w:t>
      </w:r>
    </w:p>
    <w:p>
      <w:r>
        <w:rPr>
          <w:b w:val="0"/>
          <w:i w:val="0"/>
        </w:rPr>
        <w:t>All rights in the Software are assigned to the Client on payment of each module. The Supplier's deployment scripts are licensed to the Client, perpetual and royalty-free.</w:t>
      </w:r>
    </w:p>
    <w:p>
      <w:pPr>
        <w:pStyle w:val="Heading2"/>
      </w:pPr>
      <w:r>
        <w:rPr>
          <w:color w:val="263B4B"/>
        </w:rPr>
        <w:t>Repository and accounts</w:t>
      </w:r>
    </w:p>
    <w:p>
      <w:r>
        <w:rPr>
          <w:b w:val="0"/>
          <w:i w:val="0"/>
        </w:rPr>
        <w:t>Repository in the Client's GitHub organisation from the first commit. Domain and cloud account registered to the Client, the Supplier invited as a user.</w:t>
      </w:r>
    </w:p>
    <w:p>
      <w:pPr>
        <w:pStyle w:val="Heading2"/>
      </w:pPr>
      <w:r>
        <w:rPr>
          <w:color w:val="263B4B"/>
        </w:rPr>
        <w:t>Governing law</w:t>
      </w:r>
    </w:p>
    <w:p>
      <w:r>
        <w:rPr>
          <w:b w:val="0"/>
          <w:i w:val="0"/>
        </w:rPr>
        <w:t>Dutch law. Courts of Rotterdam. Mediation first, within 30 days of a written notice of dispute.</w:t>
      </w:r>
    </w:p>
    <w:p>
      <w:r>
        <w:rPr>
          <w:b w:val="0"/>
          <w:i/>
          <w:color w:val="4C5D6A"/>
          <w:sz w:val="17"/>
        </w:rPr>
        <w:t>Template by VBS Marketing, Ghent, Belgium. vbsmarketing.eu/en/templates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3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3B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63B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3B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VBS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